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   </w:t>
      </w:r>
    </w:p>
    <w:p>
      <w:pPr>
        <w:spacing w:line="576" w:lineRule="exact"/>
        <w:ind w:firstLine="2415" w:firstLineChars="1150"/>
        <w:jc w:val="left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fldChar w:fldCharType="begin"/>
      </w:r>
      <w:r>
        <w:instrText xml:space="preserve"> HYPERLINK "http://www.cgksw.com/zhaokao/gw/8442.html" \t "http://www.cgksw.com/zhaokao/gg/_blank" </w:instrText>
      </w:r>
      <w:r>
        <w:fldChar w:fldCharType="separate"/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绵阳高新区人民法院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公开招聘政府雇员资格条件一览表</w:t>
      </w:r>
    </w:p>
    <w:bookmarkEnd w:id="0"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992"/>
        <w:gridCol w:w="2693"/>
        <w:gridCol w:w="3827"/>
        <w:gridCol w:w="3828"/>
        <w:gridCol w:w="11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3" w:type="dxa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992" w:type="dxa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2693" w:type="dxa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3827" w:type="dxa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学历及专业</w:t>
            </w:r>
          </w:p>
        </w:tc>
        <w:tc>
          <w:tcPr>
            <w:tcW w:w="3828" w:type="dxa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其他</w:t>
            </w:r>
          </w:p>
        </w:tc>
        <w:tc>
          <w:tcPr>
            <w:tcW w:w="1166" w:type="dxa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8"/>
                <w:szCs w:val="28"/>
              </w:rPr>
              <w:t>政府雇员级别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初级法官助理①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1989年4月7日及以后出生</w:t>
            </w:r>
          </w:p>
        </w:tc>
        <w:tc>
          <w:tcPr>
            <w:tcW w:w="3827" w:type="dxa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具有国民教育法学类本科及以上学历并取得相应学位</w:t>
            </w: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三级政府雇员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Merge w:val="continue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或具有国民教育非法学类本科及以上学历并取得相应学位</w:t>
            </w: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同时取得国家法律职业资格A证</w:t>
            </w:r>
          </w:p>
        </w:tc>
        <w:tc>
          <w:tcPr>
            <w:tcW w:w="11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初级法官助理②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1989年4月7日及以后出生</w:t>
            </w:r>
          </w:p>
        </w:tc>
        <w:tc>
          <w:tcPr>
            <w:tcW w:w="3827" w:type="dxa"/>
          </w:tcPr>
          <w:p>
            <w:pPr>
              <w:widowControl/>
              <w:spacing w:line="4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具有国民教育本科及以上学历并取得相应学位</w:t>
            </w: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具有较强的文稿写作能力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（需提供两篇独立撰写的文稿、形式不限）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，具有一定的法学知识</w:t>
            </w:r>
            <w:r>
              <w:rPr>
                <w:rFonts w:ascii="仿宋_GB2312" w:hAnsi="仿宋" w:eastAsia="仿宋_GB2312" w:cs="宋体"/>
                <w:b/>
                <w:kern w:val="0"/>
                <w:sz w:val="28"/>
                <w:szCs w:val="28"/>
              </w:rPr>
              <w:t>或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政法单位工作经历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三级政府雇员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书记员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>
            <w:pPr>
              <w:spacing w:line="400" w:lineRule="exact"/>
              <w:rPr>
                <w:rFonts w:ascii="仿宋_GB2312" w:hAnsi="仿宋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1989年4月7日及以后出生（</w:t>
            </w:r>
            <w:r>
              <w:rPr>
                <w:rFonts w:ascii="仿宋_GB2312" w:hAnsi="仿宋" w:eastAsia="仿宋_GB2312" w:cs="宋体"/>
                <w:kern w:val="0"/>
                <w:sz w:val="28"/>
                <w:szCs w:val="28"/>
              </w:rPr>
              <w:t>有法院书记员工作经历5年以上的，年龄可放宽至38周岁</w:t>
            </w: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3827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大专及以上学历</w:t>
            </w:r>
          </w:p>
        </w:tc>
        <w:tc>
          <w:tcPr>
            <w:tcW w:w="3828" w:type="dxa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速录测试合格</w:t>
            </w:r>
          </w:p>
        </w:tc>
        <w:tc>
          <w:tcPr>
            <w:tcW w:w="116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8"/>
                <w:szCs w:val="28"/>
              </w:rPr>
              <w:t>普通政府雇员</w:t>
            </w:r>
          </w:p>
        </w:tc>
      </w:tr>
    </w:tbl>
    <w:p>
      <w:pPr>
        <w:tabs>
          <w:tab w:val="left" w:pos="12582"/>
        </w:tabs>
        <w:spacing w:line="576" w:lineRule="exact"/>
      </w:pPr>
      <w:r>
        <w:rPr>
          <w:rFonts w:hint="eastAsia" w:ascii="仿宋_GB2312" w:eastAsia="仿宋_GB2312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ab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jODVjYjYzNTIyMmQzODBjY2M4NjA1ZGVkOTZjMDgifQ=="/>
  </w:docVars>
  <w:rsids>
    <w:rsidRoot w:val="26756EE3"/>
    <w:rsid w:val="26756EE3"/>
    <w:rsid w:val="443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24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2024-04-03T04:17:00Z</dcterms:created>
  <dc:creator>Administrator</dc:creator>
  <cp:lastModifiedBy>Administrator</cp:lastModifiedBy>
  <dcterms:modified xsi:type="dcterms:W3CDTF">2024-04-03T04:18:22Z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9636F03A81A3488D987C70E3B2DE0877_11</vt:lpwstr>
  </property>
</Properties>
</file>